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5" w:rsidRPr="007221F5" w:rsidRDefault="007221F5" w:rsidP="00722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ІВАНОВ Павло Андрійович 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(7.11.1860,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Захарівка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– 1917/1918) – магістр російської історії (1896 р.).</w:t>
      </w:r>
    </w:p>
    <w:p w:rsidR="007221F5" w:rsidRPr="007221F5" w:rsidRDefault="007221F5" w:rsidP="00722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Закінчив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історико-філологічн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факультет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університету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Св.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Володимира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7221F5">
        <w:rPr>
          <w:rFonts w:ascii="Times New Roman" w:hAnsi="Times New Roman" w:cs="Times New Roman"/>
          <w:sz w:val="20"/>
          <w:szCs w:val="20"/>
        </w:rPr>
        <w:t>1886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р.), приват-доцент (1896 р.). </w:t>
      </w:r>
    </w:p>
    <w:p w:rsidR="007221F5" w:rsidRPr="007221F5" w:rsidRDefault="007221F5" w:rsidP="007221F5">
      <w:pPr>
        <w:pStyle w:val="2"/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7221F5">
        <w:rPr>
          <w:sz w:val="20"/>
          <w:szCs w:val="20"/>
          <w:lang w:val="uk-UA"/>
        </w:rPr>
        <w:t xml:space="preserve">Під керівництвом В. Антоновича написав магістерську дисертацію, присвячену історії Волині. У Миколаєві та Одесі викладав у гімназіях. В Новоросійському університеті епізодично викладав краєзнавчі та українознавчі спецкурси впродовж 1893-1906 рр. </w:t>
      </w:r>
    </w:p>
    <w:p w:rsidR="007221F5" w:rsidRPr="007221F5" w:rsidRDefault="007221F5" w:rsidP="007221F5">
      <w:pPr>
        <w:pStyle w:val="2"/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7221F5">
        <w:rPr>
          <w:sz w:val="20"/>
          <w:szCs w:val="20"/>
          <w:lang w:val="uk-UA"/>
        </w:rPr>
        <w:t>Наукові інтереси: середньовічна історія Волинської землі, історія Південної України Х</w:t>
      </w:r>
      <w:r w:rsidRPr="007221F5">
        <w:rPr>
          <w:sz w:val="20"/>
          <w:szCs w:val="20"/>
          <w:lang w:val="en-US"/>
        </w:rPr>
        <w:t>VIII</w:t>
      </w:r>
      <w:r w:rsidRPr="007221F5">
        <w:rPr>
          <w:sz w:val="20"/>
          <w:szCs w:val="20"/>
          <w:lang w:val="uk-UA"/>
        </w:rPr>
        <w:t xml:space="preserve"> – початку ХІХ ст. </w:t>
      </w:r>
    </w:p>
    <w:p w:rsidR="007221F5" w:rsidRPr="007221F5" w:rsidRDefault="007221F5" w:rsidP="007221F5">
      <w:pPr>
        <w:pStyle w:val="2"/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7221F5">
        <w:rPr>
          <w:sz w:val="20"/>
          <w:szCs w:val="20"/>
          <w:lang w:val="uk-UA"/>
        </w:rPr>
        <w:t>У дослідженні історії Південної України зосереджувався на історії українського козацтва наприкінці Х</w:t>
      </w:r>
      <w:r w:rsidRPr="007221F5">
        <w:rPr>
          <w:sz w:val="20"/>
          <w:szCs w:val="20"/>
        </w:rPr>
        <w:t>VIII</w:t>
      </w:r>
      <w:r w:rsidRPr="007221F5">
        <w:rPr>
          <w:sz w:val="20"/>
          <w:szCs w:val="20"/>
          <w:lang w:val="uk-UA"/>
        </w:rPr>
        <w:t xml:space="preserve"> ст. та політиці російської адміністрації на півдні України у той же період. Був серед перших дослідників історії південноукраїнського козацтва кінця Х</w:t>
      </w:r>
      <w:r w:rsidRPr="007221F5">
        <w:rPr>
          <w:sz w:val="20"/>
          <w:szCs w:val="20"/>
        </w:rPr>
        <w:t>VIII</w:t>
      </w:r>
      <w:r w:rsidRPr="007221F5">
        <w:rPr>
          <w:sz w:val="20"/>
          <w:szCs w:val="20"/>
          <w:lang w:val="uk-UA"/>
        </w:rPr>
        <w:t xml:space="preserve"> ст. (Задунайської Січі), </w:t>
      </w:r>
      <w:proofErr w:type="spellStart"/>
      <w:r w:rsidRPr="007221F5">
        <w:rPr>
          <w:sz w:val="20"/>
          <w:szCs w:val="20"/>
          <w:lang w:val="uk-UA"/>
        </w:rPr>
        <w:t>першопублікаторів</w:t>
      </w:r>
      <w:proofErr w:type="spellEnd"/>
      <w:r w:rsidRPr="007221F5">
        <w:rPr>
          <w:sz w:val="20"/>
          <w:szCs w:val="20"/>
          <w:lang w:val="uk-UA"/>
        </w:rPr>
        <w:t xml:space="preserve"> низки важливих джерел з історії Південної України з Санкт-Петербурзького та Московського відділень архіву Головного штабу, архіву канцелярії Миколаївського військового губернатора, Миколаївського портового архіву, архіву Катеринославського губернського правління. Здійснивши експедицію по місцях, де мешкали нащадки козаків, ознайомився з документами, які належали одному з таких спадкоємців і опублікував їх у додатку до однієї зі статей. Доповідь, присвячена історії Чорноморського козацтва, була наслідком його подорожі у 1901 р. до с. </w:t>
      </w:r>
      <w:proofErr w:type="spellStart"/>
      <w:r w:rsidRPr="007221F5">
        <w:rPr>
          <w:sz w:val="20"/>
          <w:szCs w:val="20"/>
          <w:lang w:val="uk-UA"/>
        </w:rPr>
        <w:t>Слободзеї</w:t>
      </w:r>
      <w:proofErr w:type="spellEnd"/>
      <w:r w:rsidRPr="007221F5">
        <w:rPr>
          <w:sz w:val="20"/>
          <w:szCs w:val="20"/>
          <w:lang w:val="uk-UA"/>
        </w:rPr>
        <w:t xml:space="preserve"> в районі Тирасполя, де він ознайомився із матеріальними залишками перебування тут чорноморців. У додатках до доповіді він навів фотографії предметів, що належали отаману А. Головатому. У недосяжних для російської цензури </w:t>
      </w:r>
      <w:proofErr w:type="spellStart"/>
      <w:r w:rsidRPr="007221F5">
        <w:rPr>
          <w:sz w:val="20"/>
          <w:szCs w:val="20"/>
          <w:lang w:val="uk-UA"/>
        </w:rPr>
        <w:t>“Записках</w:t>
      </w:r>
      <w:proofErr w:type="spellEnd"/>
      <w:r w:rsidRPr="007221F5">
        <w:rPr>
          <w:sz w:val="20"/>
          <w:szCs w:val="20"/>
          <w:lang w:val="uk-UA"/>
        </w:rPr>
        <w:t xml:space="preserve"> НТШ”, під псевдонімом “І.</w:t>
      </w:r>
      <w:r w:rsidRPr="007221F5">
        <w:rPr>
          <w:sz w:val="20"/>
          <w:szCs w:val="20"/>
        </w:rPr>
        <w:t> </w:t>
      </w:r>
      <w:proofErr w:type="spellStart"/>
      <w:r w:rsidRPr="007221F5">
        <w:rPr>
          <w:sz w:val="20"/>
          <w:szCs w:val="20"/>
          <w:lang w:val="uk-UA"/>
        </w:rPr>
        <w:t>Андрієнко”</w:t>
      </w:r>
      <w:proofErr w:type="spellEnd"/>
      <w:r w:rsidRPr="007221F5">
        <w:rPr>
          <w:sz w:val="20"/>
          <w:szCs w:val="20"/>
          <w:lang w:val="uk-UA"/>
        </w:rPr>
        <w:t xml:space="preserve">, він відмітив перевагу українців серед населення </w:t>
      </w:r>
      <w:proofErr w:type="spellStart"/>
      <w:r w:rsidRPr="007221F5">
        <w:rPr>
          <w:sz w:val="20"/>
          <w:szCs w:val="20"/>
          <w:lang w:val="uk-UA"/>
        </w:rPr>
        <w:t>Новоросії</w:t>
      </w:r>
      <w:proofErr w:type="spellEnd"/>
      <w:r w:rsidRPr="007221F5">
        <w:rPr>
          <w:sz w:val="20"/>
          <w:szCs w:val="20"/>
          <w:lang w:val="uk-UA"/>
        </w:rPr>
        <w:t xml:space="preserve"> наприкінці Х</w:t>
      </w:r>
      <w:r w:rsidRPr="007221F5">
        <w:rPr>
          <w:sz w:val="20"/>
          <w:szCs w:val="20"/>
        </w:rPr>
        <w:t>VIII</w:t>
      </w:r>
      <w:r w:rsidRPr="007221F5">
        <w:rPr>
          <w:sz w:val="20"/>
          <w:szCs w:val="20"/>
          <w:lang w:val="uk-UA"/>
        </w:rPr>
        <w:t xml:space="preserve"> ст., заперечив думку В. </w:t>
      </w:r>
      <w:proofErr w:type="spellStart"/>
      <w:r w:rsidRPr="007221F5">
        <w:rPr>
          <w:sz w:val="20"/>
          <w:szCs w:val="20"/>
          <w:lang w:val="uk-UA"/>
        </w:rPr>
        <w:t>Надлєра</w:t>
      </w:r>
      <w:proofErr w:type="spellEnd"/>
      <w:r w:rsidRPr="007221F5">
        <w:rPr>
          <w:sz w:val="20"/>
          <w:szCs w:val="20"/>
          <w:lang w:val="uk-UA"/>
        </w:rPr>
        <w:t xml:space="preserve"> про цивілізаційну роль Росії на Півдні, наголосивши на ролі запорозьких козаків. Піддав сумніву позитивну роль іноземних колоністів на півдні України. В подальшій історіографії Південної України праці П. Іванова посіли досить поважне місце. Про це свідчать, зокрема, посилання на них провідних дослідників української колонізації </w:t>
      </w:r>
      <w:proofErr w:type="spellStart"/>
      <w:r w:rsidRPr="007221F5">
        <w:rPr>
          <w:sz w:val="20"/>
          <w:szCs w:val="20"/>
          <w:lang w:val="uk-UA"/>
        </w:rPr>
        <w:t>Придунав’я</w:t>
      </w:r>
      <w:proofErr w:type="spellEnd"/>
      <w:r w:rsidRPr="007221F5">
        <w:rPr>
          <w:sz w:val="20"/>
          <w:szCs w:val="20"/>
          <w:lang w:val="uk-UA"/>
        </w:rPr>
        <w:t xml:space="preserve">. </w:t>
      </w:r>
    </w:p>
    <w:p w:rsidR="007221F5" w:rsidRPr="007221F5" w:rsidRDefault="007221F5" w:rsidP="00722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Нагороди: </w:t>
      </w:r>
      <w:r w:rsidRPr="007221F5">
        <w:rPr>
          <w:rFonts w:ascii="Times New Roman" w:hAnsi="Times New Roman" w:cs="Times New Roman"/>
          <w:sz w:val="20"/>
          <w:szCs w:val="20"/>
        </w:rPr>
        <w:t>орден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7221F5">
        <w:rPr>
          <w:rFonts w:ascii="Times New Roman" w:hAnsi="Times New Roman" w:cs="Times New Roman"/>
          <w:sz w:val="20"/>
          <w:szCs w:val="20"/>
        </w:rPr>
        <w:t xml:space="preserve"> Святого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Станіслава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ІІІ </w:t>
      </w:r>
      <w:r w:rsidRPr="007221F5">
        <w:rPr>
          <w:rFonts w:ascii="Times New Roman" w:hAnsi="Times New Roman" w:cs="Times New Roman"/>
          <w:sz w:val="20"/>
          <w:szCs w:val="20"/>
        </w:rPr>
        <w:t>(1894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р.)</w:t>
      </w:r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ІІ</w:t>
      </w:r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7221F5">
        <w:rPr>
          <w:rFonts w:ascii="Times New Roman" w:hAnsi="Times New Roman" w:cs="Times New Roman"/>
          <w:sz w:val="20"/>
          <w:szCs w:val="20"/>
        </w:rPr>
        <w:t>1901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  <w:r w:rsidRPr="007221F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ступен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ів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Анни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>ІІІ</w:t>
      </w:r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ступеню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(1896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  <w:r w:rsidRPr="007221F5">
        <w:rPr>
          <w:rFonts w:ascii="Times New Roman" w:hAnsi="Times New Roman" w:cs="Times New Roman"/>
          <w:sz w:val="20"/>
          <w:szCs w:val="20"/>
        </w:rPr>
        <w:t>)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срібн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7221F5">
        <w:rPr>
          <w:rFonts w:ascii="Times New Roman" w:hAnsi="Times New Roman" w:cs="Times New Roman"/>
          <w:sz w:val="20"/>
          <w:szCs w:val="20"/>
        </w:rPr>
        <w:t xml:space="preserve"> медаль в </w:t>
      </w:r>
      <w:proofErr w:type="spellStart"/>
      <w:proofErr w:type="gramStart"/>
      <w:r w:rsidRPr="007221F5">
        <w:rPr>
          <w:rFonts w:ascii="Times New Roman" w:hAnsi="Times New Roman" w:cs="Times New Roman"/>
          <w:sz w:val="20"/>
          <w:szCs w:val="20"/>
        </w:rPr>
        <w:t>пам’ять</w:t>
      </w:r>
      <w:proofErr w:type="spellEnd"/>
      <w:proofErr w:type="gramEnd"/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царювання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</w:rPr>
        <w:t>Олександра</w:t>
      </w:r>
      <w:proofErr w:type="spellEnd"/>
      <w:r w:rsidRPr="007221F5">
        <w:rPr>
          <w:rFonts w:ascii="Times New Roman" w:hAnsi="Times New Roman" w:cs="Times New Roman"/>
          <w:sz w:val="20"/>
          <w:szCs w:val="20"/>
        </w:rPr>
        <w:t xml:space="preserve"> ІІ (1896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  <w:r w:rsidRPr="007221F5">
        <w:rPr>
          <w:rFonts w:ascii="Times New Roman" w:hAnsi="Times New Roman" w:cs="Times New Roman"/>
          <w:sz w:val="20"/>
          <w:szCs w:val="20"/>
        </w:rPr>
        <w:t>)</w:t>
      </w:r>
    </w:p>
    <w:p w:rsidR="007221F5" w:rsidRPr="007221F5" w:rsidRDefault="007221F5" w:rsidP="00722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21F5" w:rsidRPr="007221F5" w:rsidRDefault="007221F5" w:rsidP="0072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Публікації про П.А. Іванова та рецензії на його праці: </w:t>
      </w:r>
    </w:p>
    <w:p w:rsidR="007221F5" w:rsidRPr="007221F5" w:rsidRDefault="007221F5" w:rsidP="007221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221F5" w:rsidRPr="007221F5" w:rsidRDefault="007221F5" w:rsidP="007221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Ге Г. По поводу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недоразумения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г.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Иванова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Южанин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. – 1890. – 30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ноября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21F5" w:rsidRPr="007221F5" w:rsidRDefault="007221F5" w:rsidP="007221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Петлюра С.В.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Рец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. на: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Иванов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 П.А. К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Запорожских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казаков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после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уничтожения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Сечи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Записки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Одесского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общества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и древностей. – Т. 25. – 1904. – С. 20-40 (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Протоколы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) // Записки наукового товариства ім. Т. Шевченка. – Т. 63. – 1905. – Бібліографія. – С. 22-23. </w:t>
      </w:r>
    </w:p>
    <w:p w:rsidR="007221F5" w:rsidRPr="007221F5" w:rsidRDefault="007221F5" w:rsidP="007221F5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lang w:val="uk-UA"/>
        </w:rPr>
      </w:pPr>
      <w:r w:rsidRPr="007221F5">
        <w:rPr>
          <w:sz w:val="20"/>
          <w:szCs w:val="20"/>
        </w:rPr>
        <w:t>Михальченко</w:t>
      </w:r>
      <w:r w:rsidRPr="007221F5">
        <w:rPr>
          <w:sz w:val="20"/>
          <w:szCs w:val="20"/>
          <w:lang w:val="uk-UA"/>
        </w:rPr>
        <w:t> </w:t>
      </w:r>
      <w:r w:rsidRPr="007221F5">
        <w:rPr>
          <w:sz w:val="20"/>
          <w:szCs w:val="20"/>
        </w:rPr>
        <w:t>С.И. Киевская школа в российской историографии (В.Б. Антонович, М.В. </w:t>
      </w:r>
      <w:proofErr w:type="spellStart"/>
      <w:r w:rsidRPr="007221F5">
        <w:rPr>
          <w:sz w:val="20"/>
          <w:szCs w:val="20"/>
        </w:rPr>
        <w:t>Довнар-Запольский</w:t>
      </w:r>
      <w:proofErr w:type="spellEnd"/>
      <w:r w:rsidRPr="007221F5">
        <w:rPr>
          <w:sz w:val="20"/>
          <w:szCs w:val="20"/>
        </w:rPr>
        <w:t xml:space="preserve"> и их ученики). </w:t>
      </w:r>
      <w:r w:rsidRPr="007221F5">
        <w:rPr>
          <w:sz w:val="20"/>
          <w:szCs w:val="20"/>
          <w:lang w:val="uk-UA"/>
        </w:rPr>
        <w:t>–</w:t>
      </w:r>
      <w:r w:rsidRPr="007221F5">
        <w:rPr>
          <w:sz w:val="20"/>
          <w:szCs w:val="20"/>
        </w:rPr>
        <w:t xml:space="preserve"> М.-Брянск, 1997. </w:t>
      </w:r>
      <w:r w:rsidRPr="007221F5">
        <w:rPr>
          <w:sz w:val="20"/>
          <w:szCs w:val="20"/>
          <w:lang w:val="uk-UA"/>
        </w:rPr>
        <w:t>–</w:t>
      </w:r>
      <w:r w:rsidRPr="007221F5">
        <w:rPr>
          <w:sz w:val="20"/>
          <w:szCs w:val="20"/>
        </w:rPr>
        <w:t xml:space="preserve"> С. 40.</w:t>
      </w:r>
    </w:p>
    <w:p w:rsidR="007221F5" w:rsidRPr="007221F5" w:rsidRDefault="007221F5" w:rsidP="007221F5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lang w:val="uk-UA"/>
        </w:rPr>
      </w:pPr>
      <w:proofErr w:type="spellStart"/>
      <w:r w:rsidRPr="007221F5">
        <w:rPr>
          <w:sz w:val="20"/>
          <w:szCs w:val="20"/>
          <w:lang w:val="uk-UA"/>
        </w:rPr>
        <w:t>Музичко</w:t>
      </w:r>
      <w:proofErr w:type="spellEnd"/>
      <w:r w:rsidRPr="007221F5">
        <w:rPr>
          <w:sz w:val="20"/>
          <w:szCs w:val="20"/>
          <w:lang w:val="uk-UA"/>
        </w:rPr>
        <w:t xml:space="preserve"> О., </w:t>
      </w:r>
      <w:proofErr w:type="spellStart"/>
      <w:r w:rsidRPr="007221F5">
        <w:rPr>
          <w:sz w:val="20"/>
          <w:szCs w:val="20"/>
          <w:lang w:val="uk-UA"/>
        </w:rPr>
        <w:t>Хмарський</w:t>
      </w:r>
      <w:proofErr w:type="spellEnd"/>
      <w:r w:rsidRPr="007221F5">
        <w:rPr>
          <w:sz w:val="20"/>
          <w:szCs w:val="20"/>
          <w:lang w:val="uk-UA"/>
        </w:rPr>
        <w:t> В. До історії київської історичної школи: Павло Андрійович Іванов // Український історичний журнал. – 2006. – № 5. – С. 144-155.</w:t>
      </w:r>
    </w:p>
    <w:p w:rsidR="007221F5" w:rsidRPr="007221F5" w:rsidRDefault="007221F5" w:rsidP="00722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21F5" w:rsidRPr="007221F5" w:rsidRDefault="007221F5" w:rsidP="007221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Вибрані праці П.А. Іванова, що стосуються історії Південної України:</w:t>
      </w:r>
    </w:p>
    <w:p w:rsidR="007221F5" w:rsidRPr="007221F5" w:rsidRDefault="007221F5" w:rsidP="007221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Несколько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замечаний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сочинение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г. Ге </w:t>
      </w:r>
      <w:r w:rsidRPr="007221F5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Исторический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очерк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столетнего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существования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г.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Николаева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при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устье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Ингула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(1790-1890)</w:t>
      </w:r>
      <w:r w:rsidRPr="007221F5">
        <w:rPr>
          <w:rFonts w:ascii="Times New Roman" w:hAnsi="Times New Roman" w:cs="Times New Roman"/>
          <w:b/>
          <w:sz w:val="20"/>
          <w:szCs w:val="20"/>
        </w:rPr>
        <w:t>”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Южанин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. – 1890. – 20, 21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ноября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Переселение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заштатных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церковников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Новороссию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при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Екатерине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ІІ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Киевская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старина. – 1891. – Кн. 5. – Т. 33. – С. 288-297. 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Переселение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запорожцев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 Тамань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Киевская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старина. – 1891. – Кн. 7. – Т. 34. – С. 133-141.</w:t>
      </w:r>
    </w:p>
    <w:p w:rsidR="007221F5" w:rsidRPr="007221F5" w:rsidRDefault="007221F5" w:rsidP="007221F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b w:val="0"/>
          <w:spacing w:val="0"/>
          <w:sz w:val="20"/>
          <w:szCs w:val="20"/>
          <w:lang w:val="uk-UA"/>
        </w:rPr>
      </w:pPr>
      <w:proofErr w:type="spellStart"/>
      <w:r w:rsidRPr="007221F5">
        <w:rPr>
          <w:spacing w:val="0"/>
          <w:sz w:val="20"/>
          <w:szCs w:val="20"/>
          <w:lang w:val="uk-UA"/>
        </w:rPr>
        <w:t>Из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дел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канцелярии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Николаевского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военного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губернатора</w:t>
      </w:r>
      <w:r w:rsidRPr="007221F5">
        <w:rPr>
          <w:b w:val="0"/>
          <w:spacing w:val="0"/>
          <w:sz w:val="20"/>
          <w:szCs w:val="20"/>
          <w:lang w:val="uk-UA"/>
        </w:rPr>
        <w:t xml:space="preserve"> //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Известия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Таврической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ученой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архивной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комиссии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. – 1891. – № 14. – С. 109-131; 1892. – № 16. – С. 75-100. </w:t>
      </w:r>
    </w:p>
    <w:p w:rsidR="007221F5" w:rsidRPr="007221F5" w:rsidRDefault="007221F5" w:rsidP="007221F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b w:val="0"/>
          <w:spacing w:val="0"/>
          <w:sz w:val="20"/>
          <w:szCs w:val="20"/>
          <w:lang w:val="uk-UA"/>
        </w:rPr>
      </w:pPr>
      <w:proofErr w:type="spellStart"/>
      <w:r w:rsidRPr="007221F5">
        <w:rPr>
          <w:spacing w:val="0"/>
          <w:sz w:val="20"/>
          <w:szCs w:val="20"/>
          <w:lang w:val="uk-UA"/>
        </w:rPr>
        <w:t>Из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дел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Московского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отделения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архива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Главного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штаба</w:t>
      </w:r>
      <w:r w:rsidRPr="007221F5">
        <w:rPr>
          <w:b w:val="0"/>
          <w:spacing w:val="0"/>
          <w:sz w:val="20"/>
          <w:szCs w:val="20"/>
          <w:lang w:val="uk-UA"/>
        </w:rPr>
        <w:t xml:space="preserve"> //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Известия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Таврической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ученой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архивной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комиссии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>. – 1893. – № 19. – С. 31.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Документы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относящиеся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города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Одессы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Записки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Одесского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общества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и древностей. – Т. ХVI. – 1893. – С. 55-116.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Дело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выходящих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из-за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границы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Новороссийскую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губернию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жидах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Записки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Одесского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общества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и древностей. – Т. ХVІІ. – 1894. – С. 162-188.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Ювілейні видання до історії м. Одеси</w:t>
      </w:r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Записки наукового товариства ім. Т. Шевченка. – 1894. – Т. IV. – С. 152-162.</w:t>
      </w:r>
    </w:p>
    <w:p w:rsidR="007221F5" w:rsidRPr="007221F5" w:rsidRDefault="007221F5" w:rsidP="007221F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b w:val="0"/>
          <w:spacing w:val="0"/>
          <w:sz w:val="20"/>
          <w:szCs w:val="20"/>
          <w:lang w:val="uk-UA"/>
        </w:rPr>
      </w:pPr>
      <w:proofErr w:type="spellStart"/>
      <w:r w:rsidRPr="007221F5">
        <w:rPr>
          <w:spacing w:val="0"/>
          <w:sz w:val="20"/>
          <w:szCs w:val="20"/>
          <w:lang w:val="uk-UA"/>
        </w:rPr>
        <w:t>Из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дел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Николаевского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портового </w:t>
      </w:r>
      <w:proofErr w:type="spellStart"/>
      <w:r w:rsidRPr="007221F5">
        <w:rPr>
          <w:spacing w:val="0"/>
          <w:sz w:val="20"/>
          <w:szCs w:val="20"/>
          <w:lang w:val="uk-UA"/>
        </w:rPr>
        <w:t>архива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//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Известия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Таврической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ученой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архивной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комиссии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>. – 1895. – № 22. – С. 18-34.</w:t>
      </w:r>
    </w:p>
    <w:p w:rsidR="007221F5" w:rsidRPr="007221F5" w:rsidRDefault="007221F5" w:rsidP="007221F5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7221F5">
        <w:rPr>
          <w:b/>
          <w:sz w:val="20"/>
          <w:szCs w:val="20"/>
        </w:rPr>
        <w:t>Очерк деятельности на юге России адмирала графа Н.С.</w:t>
      </w:r>
      <w:r w:rsidRPr="007221F5">
        <w:rPr>
          <w:b/>
          <w:sz w:val="20"/>
          <w:szCs w:val="20"/>
          <w:lang w:val="uk-UA"/>
        </w:rPr>
        <w:t> </w:t>
      </w:r>
      <w:proofErr w:type="spellStart"/>
      <w:r w:rsidRPr="007221F5">
        <w:rPr>
          <w:b/>
          <w:sz w:val="20"/>
          <w:szCs w:val="20"/>
        </w:rPr>
        <w:t>Мордвинова</w:t>
      </w:r>
      <w:proofErr w:type="spellEnd"/>
      <w:r w:rsidRPr="007221F5">
        <w:rPr>
          <w:sz w:val="20"/>
          <w:szCs w:val="20"/>
        </w:rPr>
        <w:t xml:space="preserve"> //</w:t>
      </w:r>
      <w:r w:rsidRPr="007221F5">
        <w:rPr>
          <w:sz w:val="20"/>
          <w:szCs w:val="20"/>
          <w:lang w:val="uk-UA"/>
        </w:rPr>
        <w:t xml:space="preserve"> </w:t>
      </w:r>
      <w:proofErr w:type="spellStart"/>
      <w:r w:rsidRPr="007221F5">
        <w:rPr>
          <w:sz w:val="20"/>
          <w:szCs w:val="20"/>
          <w:lang w:val="uk-UA"/>
        </w:rPr>
        <w:t>Известия</w:t>
      </w:r>
      <w:proofErr w:type="spellEnd"/>
      <w:r w:rsidRPr="007221F5">
        <w:rPr>
          <w:sz w:val="20"/>
          <w:szCs w:val="20"/>
          <w:lang w:val="uk-UA"/>
        </w:rPr>
        <w:t xml:space="preserve"> </w:t>
      </w:r>
      <w:proofErr w:type="spellStart"/>
      <w:r w:rsidRPr="007221F5">
        <w:rPr>
          <w:sz w:val="20"/>
          <w:szCs w:val="20"/>
          <w:lang w:val="uk-UA"/>
        </w:rPr>
        <w:t>Таврической</w:t>
      </w:r>
      <w:proofErr w:type="spellEnd"/>
      <w:r w:rsidRPr="007221F5">
        <w:rPr>
          <w:sz w:val="20"/>
          <w:szCs w:val="20"/>
          <w:lang w:val="uk-UA"/>
        </w:rPr>
        <w:t xml:space="preserve"> </w:t>
      </w:r>
      <w:proofErr w:type="spellStart"/>
      <w:r w:rsidRPr="007221F5">
        <w:rPr>
          <w:sz w:val="20"/>
          <w:szCs w:val="20"/>
          <w:lang w:val="uk-UA"/>
        </w:rPr>
        <w:t>ученой</w:t>
      </w:r>
      <w:proofErr w:type="spellEnd"/>
      <w:r w:rsidRPr="007221F5">
        <w:rPr>
          <w:sz w:val="20"/>
          <w:szCs w:val="20"/>
          <w:lang w:val="uk-UA"/>
        </w:rPr>
        <w:t xml:space="preserve"> </w:t>
      </w:r>
      <w:proofErr w:type="spellStart"/>
      <w:r w:rsidRPr="007221F5">
        <w:rPr>
          <w:sz w:val="20"/>
          <w:szCs w:val="20"/>
          <w:lang w:val="uk-UA"/>
        </w:rPr>
        <w:t>архивной</w:t>
      </w:r>
      <w:proofErr w:type="spellEnd"/>
      <w:r w:rsidRPr="007221F5">
        <w:rPr>
          <w:sz w:val="20"/>
          <w:szCs w:val="20"/>
          <w:lang w:val="uk-UA"/>
        </w:rPr>
        <w:t xml:space="preserve"> </w:t>
      </w:r>
      <w:proofErr w:type="spellStart"/>
      <w:r w:rsidRPr="007221F5">
        <w:rPr>
          <w:sz w:val="20"/>
          <w:szCs w:val="20"/>
          <w:lang w:val="uk-UA"/>
        </w:rPr>
        <w:t>комиссии</w:t>
      </w:r>
      <w:proofErr w:type="spellEnd"/>
      <w:r w:rsidRPr="007221F5">
        <w:rPr>
          <w:sz w:val="20"/>
          <w:szCs w:val="20"/>
        </w:rPr>
        <w:t>.</w:t>
      </w:r>
      <w:r w:rsidRPr="007221F5">
        <w:rPr>
          <w:sz w:val="20"/>
          <w:szCs w:val="20"/>
          <w:lang w:val="uk-UA"/>
        </w:rPr>
        <w:t xml:space="preserve"> </w:t>
      </w:r>
      <w:r w:rsidRPr="007221F5">
        <w:rPr>
          <w:sz w:val="20"/>
          <w:szCs w:val="20"/>
        </w:rPr>
        <w:t>– 1895. – № 23. – С. 24-71.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Возобновление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русского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торгового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судоходства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Черном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море в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конце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XVIII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века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Известия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Таврической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ученой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архивной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. – 1899. – № 29. – С. 53-55. </w:t>
      </w:r>
    </w:p>
    <w:p w:rsidR="007221F5" w:rsidRPr="007221F5" w:rsidRDefault="007221F5" w:rsidP="007221F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b w:val="0"/>
          <w:spacing w:val="0"/>
          <w:sz w:val="20"/>
          <w:szCs w:val="20"/>
          <w:lang w:val="uk-UA"/>
        </w:rPr>
      </w:pPr>
      <w:proofErr w:type="spellStart"/>
      <w:r w:rsidRPr="007221F5">
        <w:rPr>
          <w:spacing w:val="0"/>
          <w:sz w:val="20"/>
          <w:szCs w:val="20"/>
          <w:lang w:val="uk-UA"/>
        </w:rPr>
        <w:lastRenderedPageBreak/>
        <w:t>Фаберова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дача</w:t>
      </w:r>
      <w:r w:rsidRPr="007221F5">
        <w:rPr>
          <w:b w:val="0"/>
          <w:spacing w:val="0"/>
          <w:sz w:val="20"/>
          <w:szCs w:val="20"/>
          <w:lang w:val="uk-UA"/>
        </w:rPr>
        <w:t xml:space="preserve"> // Записки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Одесского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общества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истории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и древностей. – Т. ХХІІ. – 1900. </w:t>
      </w:r>
      <w:r w:rsidRPr="007221F5">
        <w:rPr>
          <w:b w:val="0"/>
          <w:sz w:val="20"/>
          <w:szCs w:val="20"/>
        </w:rPr>
        <w:t>–</w:t>
      </w:r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Смесь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>. – С. 21-27.</w:t>
      </w:r>
    </w:p>
    <w:p w:rsidR="007221F5" w:rsidRPr="007221F5" w:rsidRDefault="007221F5" w:rsidP="007221F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b w:val="0"/>
          <w:spacing w:val="0"/>
          <w:sz w:val="20"/>
          <w:szCs w:val="20"/>
          <w:lang w:val="uk-UA"/>
        </w:rPr>
      </w:pPr>
      <w:proofErr w:type="spellStart"/>
      <w:r w:rsidRPr="007221F5">
        <w:rPr>
          <w:spacing w:val="0"/>
          <w:sz w:val="20"/>
          <w:szCs w:val="20"/>
          <w:lang w:val="uk-UA"/>
        </w:rPr>
        <w:t>Черноморские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spacing w:val="0"/>
          <w:sz w:val="20"/>
          <w:szCs w:val="20"/>
          <w:lang w:val="uk-UA"/>
        </w:rPr>
        <w:t>казаки</w:t>
      </w:r>
      <w:proofErr w:type="spellEnd"/>
      <w:r w:rsidRPr="007221F5">
        <w:rPr>
          <w:spacing w:val="0"/>
          <w:sz w:val="20"/>
          <w:szCs w:val="20"/>
          <w:lang w:val="uk-UA"/>
        </w:rPr>
        <w:t xml:space="preserve"> в </w:t>
      </w:r>
      <w:proofErr w:type="spellStart"/>
      <w:r w:rsidRPr="007221F5">
        <w:rPr>
          <w:spacing w:val="0"/>
          <w:sz w:val="20"/>
          <w:szCs w:val="20"/>
          <w:lang w:val="uk-UA"/>
        </w:rPr>
        <w:t>Слободзее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// Записки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Одесского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общества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</w:t>
      </w:r>
      <w:proofErr w:type="spellStart"/>
      <w:r w:rsidRPr="007221F5">
        <w:rPr>
          <w:b w:val="0"/>
          <w:spacing w:val="0"/>
          <w:sz w:val="20"/>
          <w:szCs w:val="20"/>
          <w:lang w:val="uk-UA"/>
        </w:rPr>
        <w:t>истории</w:t>
      </w:r>
      <w:proofErr w:type="spellEnd"/>
      <w:r w:rsidRPr="007221F5">
        <w:rPr>
          <w:b w:val="0"/>
          <w:spacing w:val="0"/>
          <w:sz w:val="20"/>
          <w:szCs w:val="20"/>
          <w:lang w:val="uk-UA"/>
        </w:rPr>
        <w:t xml:space="preserve"> и древностей. – Т. ХХІV. </w:t>
      </w:r>
      <w:r w:rsidRPr="007221F5">
        <w:rPr>
          <w:b w:val="0"/>
          <w:sz w:val="20"/>
          <w:szCs w:val="20"/>
        </w:rPr>
        <w:t>–</w:t>
      </w:r>
      <w:r w:rsidRPr="007221F5">
        <w:rPr>
          <w:b w:val="0"/>
          <w:spacing w:val="0"/>
          <w:sz w:val="20"/>
          <w:szCs w:val="20"/>
          <w:lang w:val="uk-UA"/>
        </w:rPr>
        <w:t xml:space="preserve"> 1902. – С. 81-91.</w:t>
      </w:r>
    </w:p>
    <w:p w:rsidR="007221F5" w:rsidRPr="007221F5" w:rsidRDefault="007221F5" w:rsidP="007221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Запорожских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казаков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после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уничтожения</w:t>
      </w:r>
      <w:proofErr w:type="spellEnd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b/>
          <w:sz w:val="20"/>
          <w:szCs w:val="20"/>
          <w:lang w:val="uk-UA"/>
        </w:rPr>
        <w:t>Сечи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 // Записки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Одесского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общества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истории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 xml:space="preserve"> и древностей. – Т. ХХV. – 1904. – С. 20-40 (</w:t>
      </w:r>
      <w:proofErr w:type="spellStart"/>
      <w:r w:rsidRPr="007221F5">
        <w:rPr>
          <w:rFonts w:ascii="Times New Roman" w:hAnsi="Times New Roman" w:cs="Times New Roman"/>
          <w:sz w:val="20"/>
          <w:szCs w:val="20"/>
          <w:lang w:val="uk-UA"/>
        </w:rPr>
        <w:t>Протоколы</w:t>
      </w:r>
      <w:proofErr w:type="spellEnd"/>
      <w:r w:rsidRPr="007221F5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7221F5" w:rsidRPr="007221F5" w:rsidRDefault="007221F5" w:rsidP="007221F5">
      <w:pPr>
        <w:pStyle w:val="a3"/>
        <w:spacing w:line="240" w:lineRule="auto"/>
        <w:ind w:firstLine="284"/>
        <w:rPr>
          <w:spacing w:val="0"/>
          <w:sz w:val="20"/>
          <w:szCs w:val="20"/>
          <w:lang w:val="uk-UA"/>
        </w:rPr>
      </w:pPr>
    </w:p>
    <w:p w:rsidR="007221F5" w:rsidRPr="007221F5" w:rsidRDefault="007221F5" w:rsidP="007221F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21F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Олександр </w:t>
      </w:r>
      <w:proofErr w:type="spellStart"/>
      <w:r w:rsidRPr="007221F5">
        <w:rPr>
          <w:rFonts w:ascii="Times New Roman" w:hAnsi="Times New Roman" w:cs="Times New Roman"/>
          <w:b/>
          <w:i/>
          <w:sz w:val="20"/>
          <w:szCs w:val="20"/>
          <w:lang w:val="uk-UA"/>
        </w:rPr>
        <w:t>Музичко</w:t>
      </w:r>
      <w:proofErr w:type="spellEnd"/>
    </w:p>
    <w:p w:rsidR="00292401" w:rsidRDefault="00292401"/>
    <w:sectPr w:rsidR="002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C7C"/>
    <w:multiLevelType w:val="hybridMultilevel"/>
    <w:tmpl w:val="51521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D5651"/>
    <w:multiLevelType w:val="hybridMultilevel"/>
    <w:tmpl w:val="68D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1F5"/>
    <w:rsid w:val="00292401"/>
    <w:rsid w:val="0072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2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21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semiHidden/>
    <w:rsid w:val="007221F5"/>
    <w:pPr>
      <w:widowControl w:val="0"/>
      <w:spacing w:after="0" w:line="460" w:lineRule="exact"/>
      <w:ind w:firstLine="425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a4">
    <w:name w:val="Текст концевой сноски Знак"/>
    <w:basedOn w:val="a0"/>
    <w:link w:val="a3"/>
    <w:semiHidden/>
    <w:rsid w:val="007221F5"/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2016-04-23T07:55:00Z</dcterms:created>
  <dcterms:modified xsi:type="dcterms:W3CDTF">2016-04-23T07:55:00Z</dcterms:modified>
</cp:coreProperties>
</file>